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3380600" cy="496585"/>
                <wp:effectExtent b="0" l="0" r="0" t="0"/>
                <wp:wrapNone/>
                <wp:docPr descr="Прямоугольник 5" id="10737418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68400" y="3540600"/>
                          <a:ext cx="3355200" cy="4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chemeClr val="accent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Розклад занять з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 липня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2024 року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курс «Digital маркетинг» </w:t>
                            </w:r>
                          </w:p>
                        </w:txbxContent>
                      </wps:txbx>
                      <wps:bodyPr anchorCtr="0" anchor="ctr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3380600" cy="496585"/>
                <wp:effectExtent b="0" l="0" r="0" t="0"/>
                <wp:wrapNone/>
                <wp:docPr descr="Прямоугольник 5" id="1073741827" name="image2.png"/>
                <a:graphic>
                  <a:graphicData uri="http://schemas.openxmlformats.org/drawingml/2006/picture">
                    <pic:pic>
                      <pic:nvPicPr>
                        <pic:cNvPr descr="Прямоугольник 5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600" cy="496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-22858</wp:posOffset>
            </wp:positionH>
            <wp:positionV relativeFrom="paragraph">
              <wp:posOffset>0</wp:posOffset>
            </wp:positionV>
            <wp:extent cx="1284606" cy="550545"/>
            <wp:effectExtent b="0" l="0" r="0" t="0"/>
            <wp:wrapNone/>
            <wp:docPr descr="Рисунок 4" id="1073741828" name="image1.png"/>
            <a:graphic>
              <a:graphicData uri="http://schemas.openxmlformats.org/drawingml/2006/picture">
                <pic:pic>
                  <pic:nvPicPr>
                    <pic:cNvPr descr="Рисунок 4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606" cy="550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center"/>
        <w:tblInd w:w="43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0"/>
        <w:gridCol w:w="1237"/>
        <w:gridCol w:w="750"/>
        <w:gridCol w:w="3901"/>
        <w:gridCol w:w="1385"/>
        <w:gridCol w:w="1156"/>
        <w:tblGridChange w:id="0">
          <w:tblGrid>
            <w:gridCol w:w="920"/>
            <w:gridCol w:w="1237"/>
            <w:gridCol w:w="750"/>
            <w:gridCol w:w="3901"/>
            <w:gridCol w:w="1385"/>
            <w:gridCol w:w="115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Номер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Викладач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03.07.2024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Реклама в інтернеті: вступна лекція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08.07.2024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Рекламна стратегія ч.1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10.07.2024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Рекламна стратегія ч.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15.07.2024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Основи веб-розробки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Б. Осипенко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17.07.2024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Основи веб-аналітики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А. Должанов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22.07.2024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Встановлення кодів аналітики на сайти і налаштування подій через GTM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А. Должанов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24.07.2024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Основи SEO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29.07.2024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Аналіз сайту на відповідність вимогам пошукових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31.07.2024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Що таке контекстна реклама. Google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Л. Беглоян,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В. Литвиненко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05.08.2024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Пошукова реклама в Google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Л. Беглоян,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В. Литвиненко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07.08.2024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Аналіз рекламних кампаній в Google Ads і Google Analytics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Л. Беглоян,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В. Литвиненко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12.08.2024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Медійна стратегія. Медіапланування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.2024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Створення ефективного банера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19.08.2024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Відео-реклама в інтернеті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Нестандартні розміщення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21.08.2024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Таргетована реклама в соціальних мережах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М. Федоренко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В. Литвиненко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26.08.2024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Programmatic закупівля реклами. RTB, Контекстно-медійна мережа Google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В. Литвиненко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М. Федоренко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28.08.2024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Контекстно-медійна реклама. Практика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В. Литвиненко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Л. Беглоян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02.09.2024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Мобільна реклама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04.09.2024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Оцінка ефективності медійної реклами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09.09.2024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Просування в соціальних мережах (SMM). Частина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11.09.2024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Просування в соціальних мережах (SMM). Частина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16.09.2024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R в інтернеті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18.09.2024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Основи email-маркетингу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23.09.2024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Практичний огляд можливостей популярних систем розсилки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25.09.2024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Докладний огляд Google Analytics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А. Должанов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30.09.2024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Використання фільтрів, сегментів і призначених для користувача звітів в Google Analytics для оцінки ефективності онлайн-реклами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А. Должанов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02.10.2024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18:30-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Управління інтернет-маркетингом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07.10.2024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16.00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Захист проєктів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Є. Шевченко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6" w:right="0" w:hanging="326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8" w:right="0" w:hanging="218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0" w:right="0" w:hanging="11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" w:right="0" w:hanging="2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sectPr>
      <w:headerReference r:id="rId9" w:type="default"/>
      <w:footerReference r:id="rId10" w:type="default"/>
      <w:pgSz w:h="16840" w:w="11900" w:orient="portrait"/>
      <w:pgMar w:bottom="142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DCSTveOVh8SLd5W0WsSPOvkdQ==">CgMxLjA4AHIhMWJqMTRYY2Y4dEZTU0ZCZEZPc3M5eEN6SlowODFGRmha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